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44" w:rsidRDefault="005079D7" w:rsidP="00CB6532">
      <w:pPr>
        <w:pStyle w:val="Odsekzoznamu"/>
        <w:numPr>
          <w:ilvl w:val="0"/>
          <w:numId w:val="2"/>
        </w:numPr>
        <w:spacing w:before="120" w:after="0" w:line="240" w:lineRule="auto"/>
        <w:ind w:left="425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sz w:val="24"/>
          <w:szCs w:val="24"/>
        </w:rPr>
        <w:t>Po doručen</w:t>
      </w:r>
      <w:r w:rsidR="00027B44">
        <w:rPr>
          <w:rFonts w:ascii="Garamond" w:hAnsi="Garamond"/>
          <w:sz w:val="24"/>
          <w:szCs w:val="24"/>
        </w:rPr>
        <w:t xml:space="preserve">í prihlášky na štúdium na AOS budú uchádzačovi na emailovú adresu, ktorú uviedol vo svojej prihláške na štúdium </w:t>
      </w:r>
      <w:r w:rsidRPr="00AA7761">
        <w:rPr>
          <w:rFonts w:ascii="Garamond" w:hAnsi="Garamond"/>
          <w:sz w:val="24"/>
          <w:szCs w:val="24"/>
        </w:rPr>
        <w:t>zaslané pokyny k ďalši</w:t>
      </w:r>
      <w:r w:rsidR="00027B44">
        <w:rPr>
          <w:rFonts w:ascii="Garamond" w:hAnsi="Garamond"/>
          <w:sz w:val="24"/>
          <w:szCs w:val="24"/>
        </w:rPr>
        <w:t>emu postupu.</w:t>
      </w:r>
    </w:p>
    <w:p w:rsidR="005700E0" w:rsidRPr="005700E0" w:rsidRDefault="005079D7" w:rsidP="005700E0">
      <w:pPr>
        <w:pStyle w:val="Odsekzoznamu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sz w:val="24"/>
          <w:szCs w:val="24"/>
        </w:rPr>
        <w:t xml:space="preserve">Ďalším krokom je </w:t>
      </w:r>
      <w:r w:rsidR="00027B44">
        <w:rPr>
          <w:rFonts w:ascii="Garamond" w:hAnsi="Garamond"/>
          <w:sz w:val="24"/>
          <w:szCs w:val="24"/>
        </w:rPr>
        <w:t>prijímacie</w:t>
      </w:r>
      <w:r w:rsidRPr="00AA7761">
        <w:rPr>
          <w:rFonts w:ascii="Garamond" w:hAnsi="Garamond"/>
          <w:sz w:val="24"/>
          <w:szCs w:val="24"/>
        </w:rPr>
        <w:t xml:space="preserve"> konanie na prijatie do prípravnej štátnej služby profesionálneho vojaka, ktoré vykonáva </w:t>
      </w:r>
      <w:r w:rsidRPr="00AA7761">
        <w:rPr>
          <w:rFonts w:ascii="Garamond" w:hAnsi="Garamond"/>
          <w:b/>
          <w:sz w:val="24"/>
          <w:szCs w:val="24"/>
        </w:rPr>
        <w:t>Personálny úrad Ozbrojených síl Slovenskej republiky</w:t>
      </w:r>
      <w:r w:rsidRPr="00AA7761">
        <w:rPr>
          <w:rFonts w:ascii="Garamond" w:hAnsi="Garamond"/>
          <w:sz w:val="24"/>
          <w:szCs w:val="24"/>
        </w:rPr>
        <w:t xml:space="preserve">. </w:t>
      </w:r>
      <w:r w:rsidRPr="00AA7761">
        <w:rPr>
          <w:rFonts w:ascii="Garamond" w:hAnsi="Garamond"/>
          <w:b/>
          <w:color w:val="C00000"/>
          <w:sz w:val="24"/>
          <w:szCs w:val="24"/>
        </w:rPr>
        <w:t xml:space="preserve">Preto, je </w:t>
      </w:r>
      <w:r w:rsidR="00192EF6">
        <w:rPr>
          <w:rFonts w:ascii="Garamond" w:hAnsi="Garamond"/>
          <w:b/>
          <w:color w:val="C00000"/>
          <w:sz w:val="24"/>
          <w:szCs w:val="24"/>
        </w:rPr>
        <w:t>nevyhnutné, aby sa uchádzač</w:t>
      </w:r>
      <w:r w:rsidRPr="00AA7761">
        <w:rPr>
          <w:rFonts w:ascii="Garamond" w:hAnsi="Garamond"/>
          <w:b/>
          <w:color w:val="C00000"/>
          <w:sz w:val="24"/>
          <w:szCs w:val="24"/>
        </w:rPr>
        <w:t xml:space="preserve"> po obdŕžaní pokynov, prihlásil aj do </w:t>
      </w:r>
      <w:r w:rsidR="002B5C81">
        <w:rPr>
          <w:rFonts w:ascii="Garamond" w:hAnsi="Garamond"/>
          <w:b/>
          <w:color w:val="C00000"/>
          <w:sz w:val="24"/>
          <w:szCs w:val="24"/>
        </w:rPr>
        <w:t>prijímacieho</w:t>
      </w:r>
      <w:r w:rsidRPr="00AA7761">
        <w:rPr>
          <w:rFonts w:ascii="Garamond" w:hAnsi="Garamond"/>
          <w:b/>
          <w:color w:val="C00000"/>
          <w:sz w:val="24"/>
          <w:szCs w:val="24"/>
        </w:rPr>
        <w:t xml:space="preserve"> konania na prijatie do prípravnej štátnej služby profesionálneho vojaka prostredníctvom regrutačných skupín.</w:t>
      </w:r>
      <w:r w:rsidRPr="00AA7761">
        <w:rPr>
          <w:rFonts w:ascii="Garamond" w:hAnsi="Garamond"/>
          <w:sz w:val="24"/>
          <w:szCs w:val="24"/>
        </w:rPr>
        <w:t xml:space="preserve"> Kontakty na regrutačné skupiny a ďalšie informácie sú uvedené na internetových stránkach </w:t>
      </w:r>
      <w:hyperlink r:id="rId5" w:history="1">
        <w:r w:rsidR="005700E0" w:rsidRPr="007A73B9">
          <w:rPr>
            <w:rStyle w:val="Hypertextovprepojenie"/>
          </w:rPr>
          <w:t>https://budemvojak.sk/</w:t>
        </w:r>
      </w:hyperlink>
    </w:p>
    <w:p w:rsidR="005079D7" w:rsidRPr="00AA7761" w:rsidRDefault="005079D7" w:rsidP="00CB6532">
      <w:pPr>
        <w:pStyle w:val="Odsekzoznamu"/>
        <w:numPr>
          <w:ilvl w:val="0"/>
          <w:numId w:val="2"/>
        </w:numPr>
        <w:spacing w:before="120" w:after="0" w:line="240" w:lineRule="auto"/>
        <w:ind w:left="425" w:hanging="426"/>
        <w:contextualSpacing w:val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AA7761">
        <w:rPr>
          <w:rFonts w:ascii="Garamond" w:hAnsi="Garamond"/>
          <w:sz w:val="24"/>
          <w:szCs w:val="24"/>
        </w:rPr>
        <w:t xml:space="preserve">Pri pohovore na </w:t>
      </w:r>
      <w:proofErr w:type="spellStart"/>
      <w:r w:rsidRPr="00AA7761">
        <w:rPr>
          <w:rFonts w:ascii="Garamond" w:hAnsi="Garamond"/>
          <w:b/>
          <w:sz w:val="24"/>
          <w:szCs w:val="24"/>
        </w:rPr>
        <w:t>regrutačnej</w:t>
      </w:r>
      <w:proofErr w:type="spellEnd"/>
      <w:r w:rsidRPr="00AA7761">
        <w:rPr>
          <w:rFonts w:ascii="Garamond" w:hAnsi="Garamond"/>
          <w:b/>
          <w:sz w:val="24"/>
          <w:szCs w:val="24"/>
        </w:rPr>
        <w:t xml:space="preserve"> skupine</w:t>
      </w:r>
      <w:r w:rsidRPr="00AA7761">
        <w:rPr>
          <w:rFonts w:ascii="Garamond" w:hAnsi="Garamond"/>
          <w:sz w:val="24"/>
          <w:szCs w:val="24"/>
        </w:rPr>
        <w:t xml:space="preserve"> doloží potrebné doklady na prijatie do prípravnej štátnej služ</w:t>
      </w:r>
      <w:r w:rsidR="00027B44">
        <w:rPr>
          <w:rFonts w:ascii="Garamond" w:hAnsi="Garamond"/>
          <w:sz w:val="24"/>
          <w:szCs w:val="24"/>
        </w:rPr>
        <w:t>by profesionálneho vojaka OS SR.</w:t>
      </w:r>
    </w:p>
    <w:p w:rsidR="005079D7" w:rsidRDefault="005079D7" w:rsidP="00CB6532">
      <w:pPr>
        <w:spacing w:before="120" w:after="0" w:line="240" w:lineRule="auto"/>
        <w:ind w:left="425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sz w:val="24"/>
          <w:szCs w:val="24"/>
        </w:rPr>
        <w:t xml:space="preserve">Následne absolvuje posúdenie spôsobilostí spojené s procesom výberu občana do prípravnej štátnej služby OS SR, na ktoré občanov </w:t>
      </w:r>
      <w:r w:rsidR="00AA7761" w:rsidRPr="00AA7761">
        <w:rPr>
          <w:rFonts w:ascii="Garamond" w:hAnsi="Garamond"/>
          <w:sz w:val="24"/>
          <w:szCs w:val="24"/>
        </w:rPr>
        <w:t xml:space="preserve">písomne </w:t>
      </w:r>
      <w:r w:rsidRPr="00AA7761">
        <w:rPr>
          <w:rFonts w:ascii="Garamond" w:hAnsi="Garamond"/>
          <w:sz w:val="24"/>
          <w:szCs w:val="24"/>
        </w:rPr>
        <w:t xml:space="preserve">pozýva </w:t>
      </w:r>
      <w:r w:rsidRPr="00AA7761">
        <w:rPr>
          <w:rFonts w:ascii="Garamond" w:hAnsi="Garamond"/>
          <w:b/>
          <w:sz w:val="24"/>
          <w:szCs w:val="24"/>
        </w:rPr>
        <w:t>Personálny úrad Ozbrojených síl Slovenskej republiky</w:t>
      </w:r>
      <w:r w:rsidRPr="00AA7761">
        <w:rPr>
          <w:rFonts w:ascii="Garamond" w:hAnsi="Garamond"/>
          <w:sz w:val="24"/>
          <w:szCs w:val="24"/>
        </w:rPr>
        <w:t>:</w:t>
      </w:r>
    </w:p>
    <w:p w:rsidR="005079D7" w:rsidRDefault="005079D7" w:rsidP="00CB6532">
      <w:pPr>
        <w:pStyle w:val="Odsekzoznamu"/>
        <w:numPr>
          <w:ilvl w:val="0"/>
          <w:numId w:val="5"/>
        </w:numPr>
        <w:spacing w:before="120" w:after="0" w:line="240" w:lineRule="auto"/>
        <w:ind w:left="851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b/>
          <w:sz w:val="24"/>
          <w:szCs w:val="24"/>
        </w:rPr>
        <w:t>posúdenie psychickej spôsobilosti</w:t>
      </w:r>
      <w:r w:rsidRPr="00AA7761">
        <w:rPr>
          <w:rFonts w:ascii="Garamond" w:hAnsi="Garamond"/>
          <w:sz w:val="24"/>
          <w:szCs w:val="24"/>
        </w:rPr>
        <w:t xml:space="preserve"> - vykonáva sa </w:t>
      </w:r>
      <w:proofErr w:type="spellStart"/>
      <w:r w:rsidRPr="00AA7761">
        <w:rPr>
          <w:rFonts w:ascii="Garamond" w:hAnsi="Garamond"/>
          <w:sz w:val="24"/>
          <w:szCs w:val="24"/>
        </w:rPr>
        <w:t>psychodiagnostickým</w:t>
      </w:r>
      <w:proofErr w:type="spellEnd"/>
      <w:r w:rsidRPr="00AA7761">
        <w:rPr>
          <w:rFonts w:ascii="Garamond" w:hAnsi="Garamond"/>
          <w:sz w:val="24"/>
          <w:szCs w:val="24"/>
        </w:rPr>
        <w:t xml:space="preserve"> vyšetrením,</w:t>
      </w:r>
    </w:p>
    <w:p w:rsidR="005079D7" w:rsidRDefault="005079D7" w:rsidP="00CB6532">
      <w:pPr>
        <w:pStyle w:val="Odsekzoznamu"/>
        <w:numPr>
          <w:ilvl w:val="0"/>
          <w:numId w:val="5"/>
        </w:numPr>
        <w:spacing w:before="120" w:after="0" w:line="240" w:lineRule="auto"/>
        <w:ind w:left="851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b/>
          <w:sz w:val="24"/>
          <w:szCs w:val="24"/>
        </w:rPr>
        <w:t>posúdenie fyzickej zdatnosti</w:t>
      </w:r>
      <w:r w:rsidRPr="00AA7761">
        <w:rPr>
          <w:rFonts w:ascii="Garamond" w:hAnsi="Garamond"/>
          <w:sz w:val="24"/>
          <w:szCs w:val="24"/>
        </w:rPr>
        <w:t xml:space="preserve"> - vykonáva sa preskúšaním pohybovej výkonnosti </w:t>
      </w:r>
      <w:r w:rsidR="00AA7761" w:rsidRPr="00AA7761">
        <w:rPr>
          <w:rFonts w:ascii="Garamond" w:hAnsi="Garamond"/>
          <w:sz w:val="24"/>
          <w:szCs w:val="24"/>
        </w:rPr>
        <w:t>absolvovaním</w:t>
      </w:r>
      <w:r w:rsidRPr="00AA7761">
        <w:rPr>
          <w:rFonts w:ascii="Garamond" w:hAnsi="Garamond"/>
          <w:sz w:val="24"/>
          <w:szCs w:val="24"/>
        </w:rPr>
        <w:t xml:space="preserve"> troch disciplín</w:t>
      </w:r>
      <w:r w:rsidR="00AA7761" w:rsidRPr="00AA7761">
        <w:rPr>
          <w:rFonts w:ascii="Garamond" w:hAnsi="Garamond"/>
          <w:sz w:val="24"/>
          <w:szCs w:val="24"/>
        </w:rPr>
        <w:t>:</w:t>
      </w:r>
    </w:p>
    <w:p w:rsidR="00AA7761" w:rsidRPr="00AA7761" w:rsidRDefault="00AA7761" w:rsidP="00CB6532">
      <w:pPr>
        <w:pStyle w:val="Odsekzoznamu"/>
        <w:spacing w:before="120" w:after="0" w:line="240" w:lineRule="auto"/>
        <w:ind w:left="851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A7761">
        <w:rPr>
          <w:rFonts w:ascii="Garamond" w:hAnsi="Garamond"/>
          <w:sz w:val="24"/>
          <w:szCs w:val="24"/>
          <w:u w:val="single"/>
        </w:rPr>
        <w:t>1. voliteľná disciplína:</w:t>
      </w:r>
    </w:p>
    <w:p w:rsidR="00AA7761" w:rsidRPr="00AA7761" w:rsidRDefault="00AA7761" w:rsidP="00CB6532">
      <w:pPr>
        <w:pStyle w:val="Odsekzoznamu"/>
        <w:numPr>
          <w:ilvl w:val="1"/>
          <w:numId w:val="2"/>
        </w:numPr>
        <w:spacing w:after="0" w:line="240" w:lineRule="auto"/>
        <w:ind w:left="1560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sz w:val="24"/>
          <w:szCs w:val="24"/>
        </w:rPr>
        <w:t>ľah – sed s otáčaním trupu alebo zhyby na hrazde (muži),</w:t>
      </w:r>
    </w:p>
    <w:p w:rsidR="00AA7761" w:rsidRPr="00AA7761" w:rsidRDefault="00AA7761" w:rsidP="00CB6532">
      <w:pPr>
        <w:pStyle w:val="Odsekzoznamu"/>
        <w:numPr>
          <w:ilvl w:val="1"/>
          <w:numId w:val="2"/>
        </w:numPr>
        <w:spacing w:after="0" w:line="240" w:lineRule="auto"/>
        <w:ind w:left="1560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sz w:val="24"/>
          <w:szCs w:val="24"/>
        </w:rPr>
        <w:t>ľah – sed s otáčaním trupu alebo skok do diaľky z miesta  (ženy),</w:t>
      </w:r>
    </w:p>
    <w:p w:rsidR="00AA7761" w:rsidRPr="00AA7761" w:rsidRDefault="00AA7761" w:rsidP="00CB6532">
      <w:pPr>
        <w:pStyle w:val="Odsekzoznamu"/>
        <w:spacing w:before="120" w:after="0" w:line="240" w:lineRule="auto"/>
        <w:ind w:left="851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A7761">
        <w:rPr>
          <w:rFonts w:ascii="Garamond" w:hAnsi="Garamond"/>
          <w:sz w:val="24"/>
          <w:szCs w:val="24"/>
          <w:u w:val="single"/>
        </w:rPr>
        <w:t>2. voliteľná disciplína:</w:t>
      </w:r>
    </w:p>
    <w:p w:rsidR="00AA7761" w:rsidRPr="00AA7761" w:rsidRDefault="00AA7761" w:rsidP="00CB6532">
      <w:pPr>
        <w:pStyle w:val="Odsekzoznamu"/>
        <w:numPr>
          <w:ilvl w:val="1"/>
          <w:numId w:val="2"/>
        </w:numPr>
        <w:spacing w:after="0" w:line="240" w:lineRule="auto"/>
        <w:ind w:left="1560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sz w:val="24"/>
          <w:szCs w:val="24"/>
        </w:rPr>
        <w:t>člnkový beh 10 x 10 m alebo beh na 60 metrov,</w:t>
      </w:r>
    </w:p>
    <w:p w:rsidR="00AA7761" w:rsidRPr="00AA7761" w:rsidRDefault="00AA7761" w:rsidP="00CB6532">
      <w:pPr>
        <w:pStyle w:val="Odsekzoznamu"/>
        <w:spacing w:before="120" w:after="0" w:line="240" w:lineRule="auto"/>
        <w:ind w:left="851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AA7761">
        <w:rPr>
          <w:rFonts w:ascii="Garamond" w:hAnsi="Garamond"/>
          <w:sz w:val="24"/>
          <w:szCs w:val="24"/>
          <w:u w:val="single"/>
        </w:rPr>
        <w:t>3. povinná disciplína:</w:t>
      </w:r>
    </w:p>
    <w:p w:rsidR="00AA7761" w:rsidRDefault="00AA7761" w:rsidP="00CB6532">
      <w:pPr>
        <w:pStyle w:val="Odsekzoznamu"/>
        <w:numPr>
          <w:ilvl w:val="1"/>
          <w:numId w:val="2"/>
        </w:numPr>
        <w:spacing w:after="120" w:line="240" w:lineRule="auto"/>
        <w:ind w:left="1559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sz w:val="24"/>
          <w:szCs w:val="24"/>
        </w:rPr>
        <w:t>beh na 12 minút,</w:t>
      </w:r>
    </w:p>
    <w:tbl>
      <w:tblPr>
        <w:tblStyle w:val="Mriekatabuky"/>
        <w:tblW w:w="0" w:type="auto"/>
        <w:tblInd w:w="851" w:type="dxa"/>
        <w:tblLook w:val="04A0" w:firstRow="1" w:lastRow="0" w:firstColumn="1" w:lastColumn="0" w:noHBand="0" w:noVBand="1"/>
      </w:tblPr>
      <w:tblGrid>
        <w:gridCol w:w="2688"/>
        <w:gridCol w:w="1417"/>
        <w:gridCol w:w="2053"/>
        <w:gridCol w:w="2053"/>
      </w:tblGrid>
      <w:tr w:rsidR="00AA7761" w:rsidRPr="00AA7761" w:rsidTr="00CB6532">
        <w:tc>
          <w:tcPr>
            <w:tcW w:w="2688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  <w:b/>
              </w:rPr>
            </w:pPr>
            <w:r w:rsidRPr="00AA7761">
              <w:rPr>
                <w:rFonts w:ascii="Garamond" w:hAnsi="Garamond"/>
                <w:b/>
              </w:rPr>
              <w:t>Disciplína</w:t>
            </w:r>
          </w:p>
        </w:tc>
        <w:tc>
          <w:tcPr>
            <w:tcW w:w="1417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  <w:b/>
              </w:rPr>
            </w:pPr>
            <w:r w:rsidRPr="00AA7761">
              <w:rPr>
                <w:rFonts w:ascii="Garamond" w:hAnsi="Garamond"/>
                <w:b/>
              </w:rPr>
              <w:t>Veková kategória</w:t>
            </w:r>
          </w:p>
        </w:tc>
        <w:tc>
          <w:tcPr>
            <w:tcW w:w="2053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  <w:b/>
              </w:rPr>
            </w:pPr>
            <w:r w:rsidRPr="00AA7761">
              <w:rPr>
                <w:rFonts w:ascii="Garamond" w:hAnsi="Garamond"/>
                <w:b/>
              </w:rPr>
              <w:t>Norma pohybovej  výkonnosti (muži)</w:t>
            </w:r>
          </w:p>
        </w:tc>
        <w:tc>
          <w:tcPr>
            <w:tcW w:w="2053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  <w:b/>
              </w:rPr>
            </w:pPr>
            <w:r w:rsidRPr="00AA7761">
              <w:rPr>
                <w:rFonts w:ascii="Garamond" w:hAnsi="Garamond"/>
                <w:b/>
              </w:rPr>
              <w:t>Norma pohybovej výkonnosti (ženy)</w:t>
            </w:r>
          </w:p>
        </w:tc>
      </w:tr>
      <w:tr w:rsidR="00AA7761" w:rsidRPr="00AA7761" w:rsidTr="00CB6532">
        <w:tc>
          <w:tcPr>
            <w:tcW w:w="2688" w:type="dxa"/>
            <w:vAlign w:val="center"/>
          </w:tcPr>
          <w:p w:rsidR="00CB6532" w:rsidRDefault="00CB6532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beh na 12 minút</w:t>
            </w:r>
          </w:p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(meter)</w:t>
            </w:r>
          </w:p>
        </w:tc>
        <w:tc>
          <w:tcPr>
            <w:tcW w:w="1417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do 25 rokov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1944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1616</w:t>
            </w:r>
          </w:p>
        </w:tc>
      </w:tr>
      <w:tr w:rsidR="00AA7761" w:rsidRPr="00AA7761" w:rsidTr="00CB6532">
        <w:tc>
          <w:tcPr>
            <w:tcW w:w="2688" w:type="dxa"/>
            <w:vAlign w:val="center"/>
          </w:tcPr>
          <w:p w:rsidR="00CB6532" w:rsidRDefault="00CB6532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ľah - sed s otáčaním trupu</w:t>
            </w:r>
          </w:p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(počet za 1 minútu)</w:t>
            </w:r>
          </w:p>
        </w:tc>
        <w:tc>
          <w:tcPr>
            <w:tcW w:w="1417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do 25 rokov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</w:t>
            </w:r>
          </w:p>
        </w:tc>
      </w:tr>
      <w:tr w:rsidR="00AA7761" w:rsidRPr="00AA7761" w:rsidTr="00CB6532">
        <w:tc>
          <w:tcPr>
            <w:tcW w:w="2688" w:type="dxa"/>
            <w:vAlign w:val="center"/>
          </w:tcPr>
          <w:p w:rsidR="00CB6532" w:rsidRDefault="00CB6532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zhyby na hrazde</w:t>
            </w:r>
          </w:p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(počet)</w:t>
            </w:r>
          </w:p>
        </w:tc>
        <w:tc>
          <w:tcPr>
            <w:tcW w:w="1417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do 25 rokov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2053" w:type="dxa"/>
            <w:vAlign w:val="center"/>
          </w:tcPr>
          <w:p w:rsidR="00AA7761" w:rsidRPr="00AA7761" w:rsidRDefault="00CB6532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</w:t>
            </w:r>
          </w:p>
        </w:tc>
      </w:tr>
      <w:tr w:rsidR="00AA7761" w:rsidRPr="00AA7761" w:rsidTr="00CB6532">
        <w:tc>
          <w:tcPr>
            <w:tcW w:w="2688" w:type="dxa"/>
            <w:vAlign w:val="center"/>
          </w:tcPr>
          <w:p w:rsidR="00CB6532" w:rsidRDefault="00CB6532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skok do diaľky z miesta</w:t>
            </w:r>
          </w:p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(centimeter)</w:t>
            </w:r>
          </w:p>
        </w:tc>
        <w:tc>
          <w:tcPr>
            <w:tcW w:w="1417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do 25 rokov</w:t>
            </w:r>
          </w:p>
        </w:tc>
        <w:tc>
          <w:tcPr>
            <w:tcW w:w="2053" w:type="dxa"/>
            <w:vAlign w:val="center"/>
          </w:tcPr>
          <w:p w:rsidR="00AA7761" w:rsidRPr="00AA7761" w:rsidRDefault="00CB6532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139</w:t>
            </w:r>
          </w:p>
        </w:tc>
      </w:tr>
      <w:tr w:rsidR="00AA7761" w:rsidRPr="00AA7761" w:rsidTr="00CB6532">
        <w:tc>
          <w:tcPr>
            <w:tcW w:w="2688" w:type="dxa"/>
            <w:vAlign w:val="center"/>
          </w:tcPr>
          <w:p w:rsidR="00CB6532" w:rsidRDefault="00CB6532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člnkový beh 10 x 10 metrov</w:t>
            </w:r>
          </w:p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(sekunda)</w:t>
            </w:r>
          </w:p>
        </w:tc>
        <w:tc>
          <w:tcPr>
            <w:tcW w:w="1417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do 25 rokov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33,2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37,0</w:t>
            </w:r>
          </w:p>
        </w:tc>
      </w:tr>
      <w:tr w:rsidR="00AA7761" w:rsidRPr="00AA7761" w:rsidTr="00CB6532">
        <w:tc>
          <w:tcPr>
            <w:tcW w:w="2688" w:type="dxa"/>
            <w:vAlign w:val="center"/>
          </w:tcPr>
          <w:p w:rsidR="00CB6532" w:rsidRDefault="00CB6532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beh na 60 m</w:t>
            </w:r>
          </w:p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(sekunda)</w:t>
            </w:r>
          </w:p>
        </w:tc>
        <w:tc>
          <w:tcPr>
            <w:tcW w:w="1417" w:type="dxa"/>
            <w:vAlign w:val="center"/>
          </w:tcPr>
          <w:p w:rsidR="00AA7761" w:rsidRPr="00AA7761" w:rsidRDefault="00AA7761" w:rsidP="00CB6532">
            <w:pPr>
              <w:jc w:val="center"/>
              <w:rPr>
                <w:rFonts w:ascii="Garamond" w:hAnsi="Garamond"/>
              </w:rPr>
            </w:pPr>
            <w:r w:rsidRPr="00AA7761">
              <w:rPr>
                <w:rFonts w:ascii="Garamond" w:hAnsi="Garamond"/>
              </w:rPr>
              <w:t>do 25 rokov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10,8</w:t>
            </w:r>
          </w:p>
        </w:tc>
        <w:tc>
          <w:tcPr>
            <w:tcW w:w="2053" w:type="dxa"/>
            <w:vAlign w:val="center"/>
          </w:tcPr>
          <w:p w:rsidR="00AA7761" w:rsidRPr="00AA7761" w:rsidRDefault="003C75FA" w:rsidP="00CB653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12,0</w:t>
            </w:r>
          </w:p>
        </w:tc>
      </w:tr>
    </w:tbl>
    <w:p w:rsidR="005079D7" w:rsidRPr="00AA7761" w:rsidRDefault="005079D7" w:rsidP="00B813B1">
      <w:pPr>
        <w:pStyle w:val="Odsekzoznamu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b/>
          <w:sz w:val="24"/>
          <w:szCs w:val="24"/>
        </w:rPr>
        <w:t>posúdenie zdravotnej spôsobilosti</w:t>
      </w:r>
      <w:r w:rsidRPr="00AA7761">
        <w:rPr>
          <w:rFonts w:ascii="Garamond" w:hAnsi="Garamond"/>
          <w:sz w:val="24"/>
          <w:szCs w:val="24"/>
        </w:rPr>
        <w:t xml:space="preserve"> </w:t>
      </w:r>
      <w:r w:rsidR="00B813B1">
        <w:rPr>
          <w:rFonts w:ascii="Garamond" w:hAnsi="Garamond"/>
          <w:sz w:val="24"/>
          <w:szCs w:val="24"/>
        </w:rPr>
        <w:t>– p</w:t>
      </w:r>
      <w:r w:rsidR="00B813B1" w:rsidRPr="00B813B1">
        <w:rPr>
          <w:rFonts w:ascii="Garamond" w:hAnsi="Garamond"/>
          <w:sz w:val="24"/>
          <w:szCs w:val="24"/>
        </w:rPr>
        <w:t>o úspešnom ukončení fyzickej zdatnosti bude</w:t>
      </w:r>
      <w:r w:rsidR="00B813B1">
        <w:rPr>
          <w:rFonts w:ascii="Garamond" w:hAnsi="Garamond"/>
          <w:sz w:val="24"/>
          <w:szCs w:val="24"/>
        </w:rPr>
        <w:t xml:space="preserve"> občanovi</w:t>
      </w:r>
      <w:r w:rsidR="00B813B1" w:rsidRPr="00B813B1">
        <w:rPr>
          <w:rFonts w:ascii="Garamond" w:hAnsi="Garamond"/>
          <w:sz w:val="24"/>
          <w:szCs w:val="24"/>
        </w:rPr>
        <w:t xml:space="preserve"> stanovený termín posúdenia zdravotnej spôs</w:t>
      </w:r>
      <w:r w:rsidR="00B813B1">
        <w:rPr>
          <w:rFonts w:ascii="Garamond" w:hAnsi="Garamond"/>
          <w:sz w:val="24"/>
          <w:szCs w:val="24"/>
        </w:rPr>
        <w:t>obilosti, ktorá bude vykonaná v </w:t>
      </w:r>
      <w:r w:rsidR="00B813B1" w:rsidRPr="00B813B1">
        <w:rPr>
          <w:rFonts w:ascii="Garamond" w:hAnsi="Garamond"/>
          <w:sz w:val="24"/>
          <w:szCs w:val="24"/>
        </w:rPr>
        <w:t xml:space="preserve">Ústrednej vojenskej nemocnici v Ružomberku (ďalej len „ÚVN“). Lekári v ÚVN </w:t>
      </w:r>
      <w:r w:rsidR="00B813B1">
        <w:rPr>
          <w:rFonts w:ascii="Garamond" w:hAnsi="Garamond"/>
          <w:sz w:val="24"/>
          <w:szCs w:val="24"/>
        </w:rPr>
        <w:t>občanovi</w:t>
      </w:r>
      <w:r w:rsidR="00B813B1" w:rsidRPr="00B813B1">
        <w:rPr>
          <w:rFonts w:ascii="Garamond" w:hAnsi="Garamond"/>
          <w:sz w:val="24"/>
          <w:szCs w:val="24"/>
        </w:rPr>
        <w:t xml:space="preserve"> posúdia zdravotnú spôsobilosť v zmysle Vyhlášky Ministerstva ob</w:t>
      </w:r>
      <w:r w:rsidR="003C75FA">
        <w:rPr>
          <w:rFonts w:ascii="Garamond" w:hAnsi="Garamond"/>
          <w:sz w:val="24"/>
          <w:szCs w:val="24"/>
        </w:rPr>
        <w:t xml:space="preserve">rany Slovenskej republiky </w:t>
      </w:r>
      <w:r w:rsidR="003C75FA" w:rsidRPr="008D0943">
        <w:rPr>
          <w:rFonts w:ascii="Garamond" w:hAnsi="Garamond"/>
          <w:color w:val="000000" w:themeColor="text1"/>
          <w:sz w:val="24"/>
          <w:szCs w:val="24"/>
        </w:rPr>
        <w:t>č. 446</w:t>
      </w:r>
      <w:r w:rsidR="00B813B1" w:rsidRPr="008D0943">
        <w:rPr>
          <w:rFonts w:ascii="Garamond" w:hAnsi="Garamond"/>
          <w:color w:val="000000" w:themeColor="text1"/>
          <w:sz w:val="24"/>
          <w:szCs w:val="24"/>
        </w:rPr>
        <w:t>/20</w:t>
      </w:r>
      <w:r w:rsidR="003C75FA" w:rsidRPr="008D0943">
        <w:rPr>
          <w:rFonts w:ascii="Garamond" w:hAnsi="Garamond"/>
          <w:color w:val="000000" w:themeColor="text1"/>
          <w:sz w:val="24"/>
          <w:szCs w:val="24"/>
        </w:rPr>
        <w:t>22</w:t>
      </w:r>
      <w:r w:rsidR="00B813B1" w:rsidRPr="008D09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813B1" w:rsidRPr="00B813B1">
        <w:rPr>
          <w:rFonts w:ascii="Garamond" w:hAnsi="Garamond"/>
          <w:sz w:val="24"/>
          <w:szCs w:val="24"/>
        </w:rPr>
        <w:t xml:space="preserve">(vyhlášku </w:t>
      </w:r>
      <w:r w:rsidR="00B813B1">
        <w:rPr>
          <w:rFonts w:ascii="Garamond" w:hAnsi="Garamond"/>
          <w:sz w:val="24"/>
          <w:szCs w:val="24"/>
        </w:rPr>
        <w:t>je</w:t>
      </w:r>
      <w:r w:rsidR="00B813B1" w:rsidRPr="00B813B1">
        <w:rPr>
          <w:rFonts w:ascii="Garamond" w:hAnsi="Garamond"/>
          <w:sz w:val="24"/>
          <w:szCs w:val="24"/>
        </w:rPr>
        <w:t xml:space="preserve"> m</w:t>
      </w:r>
      <w:r w:rsidR="00B813B1">
        <w:rPr>
          <w:rFonts w:ascii="Garamond" w:hAnsi="Garamond"/>
          <w:sz w:val="24"/>
          <w:szCs w:val="24"/>
        </w:rPr>
        <w:t>ožné</w:t>
      </w:r>
      <w:r w:rsidR="00B813B1" w:rsidRPr="00B813B1">
        <w:rPr>
          <w:rFonts w:ascii="Garamond" w:hAnsi="Garamond"/>
          <w:sz w:val="24"/>
          <w:szCs w:val="24"/>
        </w:rPr>
        <w:t xml:space="preserve"> vyhľadať napr. na internetovej stránke </w:t>
      </w:r>
      <w:hyperlink r:id="rId6" w:history="1">
        <w:r w:rsidR="00B813B1" w:rsidRPr="005A7A0E">
          <w:rPr>
            <w:rStyle w:val="Hypertextovprepojenie"/>
            <w:rFonts w:ascii="Garamond" w:hAnsi="Garamond"/>
            <w:sz w:val="24"/>
            <w:szCs w:val="24"/>
          </w:rPr>
          <w:t>www.slov-lex.sk</w:t>
        </w:r>
      </w:hyperlink>
      <w:r w:rsidR="00B813B1">
        <w:rPr>
          <w:rFonts w:ascii="Garamond" w:hAnsi="Garamond"/>
          <w:sz w:val="24"/>
          <w:szCs w:val="24"/>
        </w:rPr>
        <w:t xml:space="preserve"> </w:t>
      </w:r>
      <w:r w:rsidR="00B813B1" w:rsidRPr="00B813B1">
        <w:rPr>
          <w:rFonts w:ascii="Garamond" w:hAnsi="Garamond"/>
          <w:sz w:val="24"/>
          <w:szCs w:val="24"/>
        </w:rPr>
        <w:t xml:space="preserve">a informatívne </w:t>
      </w:r>
      <w:r w:rsidR="00B813B1">
        <w:rPr>
          <w:rFonts w:ascii="Garamond" w:hAnsi="Garamond"/>
          <w:sz w:val="24"/>
          <w:szCs w:val="24"/>
        </w:rPr>
        <w:t>si</w:t>
      </w:r>
      <w:r w:rsidR="00B813B1" w:rsidRPr="00B813B1">
        <w:rPr>
          <w:rFonts w:ascii="Garamond" w:hAnsi="Garamond"/>
          <w:sz w:val="24"/>
          <w:szCs w:val="24"/>
        </w:rPr>
        <w:t xml:space="preserve"> posúdiť svoju zdravotnú spôsobilosť). </w:t>
      </w:r>
    </w:p>
    <w:p w:rsidR="00CB6532" w:rsidRDefault="00CB6532" w:rsidP="00CB6532">
      <w:pPr>
        <w:pStyle w:val="Odsekzoznamu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AA7761">
        <w:rPr>
          <w:rFonts w:ascii="Garamond" w:hAnsi="Garamond"/>
          <w:sz w:val="24"/>
          <w:szCs w:val="24"/>
        </w:rPr>
        <w:t xml:space="preserve">Po úspešnom </w:t>
      </w:r>
      <w:r w:rsidR="00027B44">
        <w:rPr>
          <w:rFonts w:ascii="Garamond" w:hAnsi="Garamond"/>
          <w:sz w:val="24"/>
          <w:szCs w:val="24"/>
        </w:rPr>
        <w:t>prijímacom</w:t>
      </w:r>
      <w:r w:rsidRPr="00AA7761">
        <w:rPr>
          <w:rFonts w:ascii="Garamond" w:hAnsi="Garamond"/>
          <w:sz w:val="24"/>
          <w:szCs w:val="24"/>
        </w:rPr>
        <w:t xml:space="preserve"> konaní na prijatie do prípravnej štátnej služby OS SR je </w:t>
      </w:r>
      <w:r w:rsidR="00192EF6">
        <w:rPr>
          <w:rFonts w:ascii="Garamond" w:hAnsi="Garamond"/>
          <w:sz w:val="24"/>
          <w:szCs w:val="24"/>
        </w:rPr>
        <w:t>uchádzač</w:t>
      </w:r>
      <w:r w:rsidRPr="00AA7761">
        <w:rPr>
          <w:rFonts w:ascii="Garamond" w:hAnsi="Garamond"/>
          <w:sz w:val="24"/>
          <w:szCs w:val="24"/>
        </w:rPr>
        <w:t xml:space="preserve"> písomne pozvaný na vedomostnú prijímaciu skúšku na Akadémiu ozbrojených síl. Prijímacia skúška sa uskutočňuje formo</w:t>
      </w:r>
      <w:r w:rsidR="00027B44">
        <w:rPr>
          <w:rFonts w:ascii="Garamond" w:hAnsi="Garamond"/>
          <w:sz w:val="24"/>
          <w:szCs w:val="24"/>
        </w:rPr>
        <w:t>u písomných vedomostných testov z anglického jazyka a matematiky.</w:t>
      </w:r>
    </w:p>
    <w:sectPr w:rsidR="00CB6532" w:rsidSect="00B813B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D2"/>
    <w:multiLevelType w:val="hybridMultilevel"/>
    <w:tmpl w:val="8BA01BD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951E86"/>
    <w:multiLevelType w:val="hybridMultilevel"/>
    <w:tmpl w:val="540220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406C"/>
    <w:multiLevelType w:val="hybridMultilevel"/>
    <w:tmpl w:val="E050011A"/>
    <w:lvl w:ilvl="0" w:tplc="C2F00C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F55D2C"/>
    <w:multiLevelType w:val="hybridMultilevel"/>
    <w:tmpl w:val="BD5039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445F0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847A5"/>
    <w:multiLevelType w:val="hybridMultilevel"/>
    <w:tmpl w:val="B5226FC6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6C33199"/>
    <w:multiLevelType w:val="hybridMultilevel"/>
    <w:tmpl w:val="D3A03B06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D7"/>
    <w:rsid w:val="00027B44"/>
    <w:rsid w:val="000E7828"/>
    <w:rsid w:val="00192EF6"/>
    <w:rsid w:val="00231729"/>
    <w:rsid w:val="002B5C81"/>
    <w:rsid w:val="002D2B32"/>
    <w:rsid w:val="003C75FA"/>
    <w:rsid w:val="005079D7"/>
    <w:rsid w:val="005700E0"/>
    <w:rsid w:val="005E284C"/>
    <w:rsid w:val="008D0943"/>
    <w:rsid w:val="00AA7761"/>
    <w:rsid w:val="00B24F10"/>
    <w:rsid w:val="00B813B1"/>
    <w:rsid w:val="00CB6532"/>
    <w:rsid w:val="00EB65E3"/>
    <w:rsid w:val="00F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B648"/>
  <w15:chartTrackingRefBased/>
  <w15:docId w15:val="{2EA72330-4EF8-43BF-863C-B8D27EE8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79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79D7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A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570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-lex.sk" TargetMode="External"/><Relationship Id="rId5" Type="http://schemas.openxmlformats.org/officeDocument/2006/relationships/hyperlink" Target="https://budemvojak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SLANINA Lubos</dc:creator>
  <cp:keywords/>
  <dc:description/>
  <cp:lastModifiedBy>Brestovská, Zuzana</cp:lastModifiedBy>
  <cp:revision>7</cp:revision>
  <dcterms:created xsi:type="dcterms:W3CDTF">2024-09-17T13:09:00Z</dcterms:created>
  <dcterms:modified xsi:type="dcterms:W3CDTF">2024-09-18T07:14:00Z</dcterms:modified>
</cp:coreProperties>
</file>